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C60C" w14:textId="2C4E9673" w:rsidR="008E6916" w:rsidRPr="008E6916" w:rsidRDefault="008E6916" w:rsidP="008E691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8E6916">
        <w:rPr>
          <w:rFonts w:asciiTheme="minorHAnsi" w:hAnsiTheme="minorHAnsi" w:cstheme="minorHAnsi"/>
          <w:b/>
          <w:bCs/>
          <w:color w:val="333333"/>
          <w:sz w:val="22"/>
          <w:szCs w:val="22"/>
        </w:rPr>
        <w:t>Diplomatura en actividades turísticas de trekking</w:t>
      </w:r>
    </w:p>
    <w:p w14:paraId="224D8B32" w14:textId="7F7FB08B" w:rsidR="00316541" w:rsidRPr="008E6916" w:rsidRDefault="00ED5ACF" w:rsidP="008E69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E6916">
        <w:rPr>
          <w:rFonts w:asciiTheme="minorHAnsi" w:hAnsiTheme="minorHAnsi" w:cstheme="minorHAnsi"/>
          <w:color w:val="333333"/>
          <w:sz w:val="22"/>
          <w:szCs w:val="22"/>
        </w:rPr>
        <w:t>La Universidad Nacional de Tierra del Fuego, Antártida e Islas del Atlántico Sur, al crear la Diplomatura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en actividades turísticas de trekking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, responde a una clara necesidad 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de contribuir en la formación de recursos humanos con aptitudes, conocimientos y formación necesarias para conducir y liderar de manera profesional el manejo de visitantes por entornos agrestes garantizando las condiciones óptimas de seguridad. D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icha necesidad 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está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relacionad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con una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creciente 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demanda del segmento de turismo focalizado en áreas naturales.</w:t>
      </w:r>
    </w:p>
    <w:p w14:paraId="36E9B2B8" w14:textId="75AF84DC" w:rsidR="00ED5ACF" w:rsidRPr="008E6916" w:rsidRDefault="00ED5ACF" w:rsidP="008E69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E6916">
        <w:rPr>
          <w:rFonts w:asciiTheme="minorHAnsi" w:hAnsiTheme="minorHAnsi" w:cstheme="minorHAnsi"/>
          <w:color w:val="333333"/>
          <w:sz w:val="22"/>
          <w:szCs w:val="22"/>
        </w:rPr>
        <w:t>La participación de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l Instituto de Desarrollo Económico e Innovación (IDEI) y particularmente 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>l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as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carreras de Tecnicatura y Licenciatura en Turismo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>, a través de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>l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as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cual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es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la UNT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DF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ha brindado</w:t>
      </w:r>
      <w:r w:rsidR="00EF5963" w:rsidRPr="008E6916">
        <w:rPr>
          <w:rFonts w:asciiTheme="minorHAnsi" w:hAnsiTheme="minorHAnsi" w:cstheme="minorHAnsi"/>
          <w:color w:val="333333"/>
          <w:sz w:val="22"/>
          <w:szCs w:val="22"/>
        </w:rPr>
        <w:t>, en las últimas 3 décadas,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la formación de profesionales a la sociedad fueguina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, genera 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el impulso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necesari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para </w:t>
      </w:r>
      <w:r w:rsidR="00316541" w:rsidRPr="008E6916">
        <w:rPr>
          <w:rFonts w:asciiTheme="minorHAnsi" w:hAnsiTheme="minorHAnsi" w:cstheme="minorHAnsi"/>
          <w:color w:val="333333"/>
          <w:sz w:val="22"/>
          <w:szCs w:val="22"/>
        </w:rPr>
        <w:t>gestionar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esta</w:t>
      </w:r>
      <w:r w:rsidR="00EF5963" w:rsidRPr="008E6916">
        <w:rPr>
          <w:rFonts w:asciiTheme="minorHAnsi" w:hAnsiTheme="minorHAnsi" w:cstheme="minorHAnsi"/>
          <w:color w:val="333333"/>
          <w:sz w:val="22"/>
          <w:szCs w:val="22"/>
        </w:rPr>
        <w:t xml:space="preserve"> propuesta</w:t>
      </w:r>
      <w:r w:rsidRPr="008E6916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5F4E3CEE" w14:textId="77777777" w:rsidR="008E6916" w:rsidRDefault="008E6916" w:rsidP="008E6916">
      <w:pPr>
        <w:spacing w:after="0" w:line="240" w:lineRule="auto"/>
        <w:jc w:val="both"/>
        <w:rPr>
          <w:rFonts w:cstheme="minorHAnsi"/>
          <w:lang w:val="es-MX"/>
        </w:rPr>
      </w:pPr>
    </w:p>
    <w:p w14:paraId="5014CCA6" w14:textId="3D898208" w:rsidR="00ED5ACF" w:rsidRPr="008E6916" w:rsidRDefault="00ED5ACF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OBJETIVO</w:t>
      </w:r>
    </w:p>
    <w:p w14:paraId="585B8BCE" w14:textId="77777777" w:rsidR="00EF5963" w:rsidRPr="008E6916" w:rsidRDefault="00EF5963" w:rsidP="008E69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E6916">
        <w:rPr>
          <w:rFonts w:asciiTheme="minorHAnsi" w:hAnsiTheme="minorHAnsi" w:cstheme="minorHAnsi"/>
          <w:color w:val="333333"/>
          <w:sz w:val="22"/>
          <w:szCs w:val="22"/>
        </w:rPr>
        <w:t>La diplomatura busca brindar a los guías de turismo una formación con orientación específica para su desempeño en ambientes de montaña y agrestes en la provincia de Tierra del Fuego, incorporando técnicas de desplazamiento por terrenos de mediana dificultad andina y desarrollando capacidades para poder manejarse y dirigir visitantes por circuitos en condiciones óptimas de seguridad.</w:t>
      </w:r>
    </w:p>
    <w:p w14:paraId="09FDEC2A" w14:textId="77777777" w:rsidR="008E6916" w:rsidRDefault="008E6916" w:rsidP="008E6916">
      <w:pPr>
        <w:spacing w:after="0" w:line="240" w:lineRule="auto"/>
        <w:jc w:val="both"/>
        <w:rPr>
          <w:rFonts w:cstheme="minorHAnsi"/>
          <w:lang w:val="es-MX"/>
        </w:rPr>
      </w:pPr>
    </w:p>
    <w:p w14:paraId="48FBD82B" w14:textId="57845000" w:rsidR="00ED5ACF" w:rsidRPr="008E6916" w:rsidRDefault="00ED5ACF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 xml:space="preserve">DESTINATARIOS </w:t>
      </w:r>
    </w:p>
    <w:p w14:paraId="25727002" w14:textId="74C056E3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La diplomatura esta dirigida a profesionales del turismo habilitados como Guías de Turismo por el organismo de aplicación de la actividad turística de la provincia de Tierra del Fuego, Antártida e Islas del Atlántico Sur, conforme la Ley Territorial N° 338</w:t>
      </w:r>
    </w:p>
    <w:p w14:paraId="28C4B44B" w14:textId="77777777" w:rsidR="008E6916" w:rsidRDefault="008E6916" w:rsidP="008E6916">
      <w:pPr>
        <w:spacing w:after="0" w:line="240" w:lineRule="auto"/>
        <w:jc w:val="both"/>
        <w:rPr>
          <w:rFonts w:cstheme="minorHAnsi"/>
          <w:lang w:val="es-MX"/>
        </w:rPr>
      </w:pPr>
    </w:p>
    <w:p w14:paraId="00A0B7A0" w14:textId="6D59CAC4" w:rsidR="00ED5ACF" w:rsidRPr="008E6916" w:rsidRDefault="00ED5ACF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 xml:space="preserve">PLAN DE ESTUDIOS </w:t>
      </w:r>
    </w:p>
    <w:p w14:paraId="0B01A177" w14:textId="77777777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1. Orientación e interpretación cartográfica (18 hs teórico-prácticas)</w:t>
      </w:r>
    </w:p>
    <w:p w14:paraId="7590B70B" w14:textId="0DE67839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2. Psicología en ámbitos agrestes y resolución de conflictos de grupos en ámbitos agrestes (16 hs teórico-prácticas)</w:t>
      </w:r>
    </w:p>
    <w:p w14:paraId="4BCB0F5D" w14:textId="4B9FFFA9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3. Trekking I (indumentaria, materiales e introducción al campamento) (28 hs teórico-prácticas)</w:t>
      </w:r>
    </w:p>
    <w:p w14:paraId="0E6DB2D0" w14:textId="647E7437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4. Influencia del medioambiente en actividades en ámbitos agrestes y/o de montaña (prevención y tratamiento de hipotermia, congelamiento) (12 hs teórico-prácticas)</w:t>
      </w:r>
    </w:p>
    <w:p w14:paraId="2171933B" w14:textId="77777777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5. Meteorología (16 hs teórico-prácticas)</w:t>
      </w:r>
    </w:p>
    <w:p w14:paraId="1D2A04B8" w14:textId="77777777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6. Derechos y obligaciones del guía. Ética profesional (12 hs teórico-prácticas)</w:t>
      </w:r>
    </w:p>
    <w:p w14:paraId="7003C8DA" w14:textId="77777777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7. Rescate I y Comunicaciones (44 hs teórico-prácticas)</w:t>
      </w:r>
    </w:p>
    <w:p w14:paraId="5C3D545F" w14:textId="77777777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8. Introducción a los riesgos naturales (12 hs teórico-prácticas)</w:t>
      </w:r>
    </w:p>
    <w:p w14:paraId="37DAA00C" w14:textId="77777777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9. Liderazgo y gestión de grupos en ámbitos agrestes (8 hs teórico-prácticas)</w:t>
      </w:r>
    </w:p>
    <w:p w14:paraId="593AB68A" w14:textId="77777777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10. Trabajo final de elaboración de proyecto (grupal/individual) (10 hs teórico-prácticas)</w:t>
      </w:r>
    </w:p>
    <w:p w14:paraId="48774156" w14:textId="3C799F3B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11. Salidas de campo: 12</w:t>
      </w:r>
    </w:p>
    <w:p w14:paraId="65DE6E69" w14:textId="77777777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</w:p>
    <w:p w14:paraId="30B12BF9" w14:textId="213EA4C9" w:rsidR="00ED5ACF" w:rsidRPr="008E6916" w:rsidRDefault="00ED5ACF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 xml:space="preserve">CARGA HORARIA </w:t>
      </w:r>
    </w:p>
    <w:p w14:paraId="311045F9" w14:textId="292443F2" w:rsidR="008E6916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200 hs.</w:t>
      </w:r>
      <w:r w:rsidR="008E6916">
        <w:rPr>
          <w:rFonts w:cstheme="minorHAnsi"/>
          <w:lang w:val="es-MX"/>
        </w:rPr>
        <w:t xml:space="preserve"> S</w:t>
      </w:r>
      <w:r w:rsidR="008E6916" w:rsidRPr="008E6916">
        <w:rPr>
          <w:rFonts w:cstheme="minorHAnsi"/>
          <w:lang w:val="es-MX"/>
        </w:rPr>
        <w:t>e requerirá cumplir con horas de campamento y trekking para poder acceder a la instancia</w:t>
      </w:r>
      <w:r w:rsidR="008E6916">
        <w:rPr>
          <w:rFonts w:cstheme="minorHAnsi"/>
          <w:lang w:val="es-MX"/>
        </w:rPr>
        <w:t xml:space="preserve"> </w:t>
      </w:r>
      <w:r w:rsidR="008E6916" w:rsidRPr="008E6916">
        <w:rPr>
          <w:rFonts w:cstheme="minorHAnsi"/>
          <w:lang w:val="es-MX"/>
        </w:rPr>
        <w:t>de trabajo final</w:t>
      </w:r>
      <w:r w:rsidR="008E6916">
        <w:rPr>
          <w:rFonts w:cstheme="minorHAnsi"/>
          <w:lang w:val="es-MX"/>
        </w:rPr>
        <w:t>.</w:t>
      </w:r>
    </w:p>
    <w:p w14:paraId="52762D5E" w14:textId="77777777" w:rsidR="008E6916" w:rsidRDefault="008E6916" w:rsidP="008E6916">
      <w:pPr>
        <w:spacing w:after="0" w:line="240" w:lineRule="auto"/>
        <w:jc w:val="both"/>
        <w:rPr>
          <w:rFonts w:cstheme="minorHAnsi"/>
          <w:lang w:val="es-MX"/>
        </w:rPr>
      </w:pPr>
    </w:p>
    <w:p w14:paraId="17F0C7CD" w14:textId="6F4F5B80" w:rsidR="00ED5ACF" w:rsidRPr="008E6916" w:rsidRDefault="00ED5ACF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 xml:space="preserve">REQUISITOS </w:t>
      </w:r>
    </w:p>
    <w:p w14:paraId="3F90431C" w14:textId="1822E5AB" w:rsidR="00EF5963" w:rsidRPr="008E6916" w:rsidRDefault="00EF5963" w:rsidP="008E6916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Habilitación vigente en el registro de guías de turismo provincial (Instituto Fueguino de Turismo-INFUETUR).</w:t>
      </w:r>
    </w:p>
    <w:p w14:paraId="15B445E7" w14:textId="01DD951F" w:rsidR="00EF5963" w:rsidRPr="008E6916" w:rsidRDefault="00EF5963" w:rsidP="008E6916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Acreditación de dos temporadas de trabajo como guía de turismo dentro de la provincia de Tierra del Fuego o con título de pregrado de la Universidad Nacional de Tierra del Fuego, Antártida e Islas del Atlántico Sur (UNTDF).</w:t>
      </w:r>
    </w:p>
    <w:p w14:paraId="3FEA664A" w14:textId="77777777" w:rsidR="00EF5963" w:rsidRPr="008E6916" w:rsidRDefault="00EF5963" w:rsidP="008E6916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Certificado de apto físico para actividades de trekking</w:t>
      </w:r>
    </w:p>
    <w:p w14:paraId="1E6307A4" w14:textId="77777777" w:rsidR="00EF5963" w:rsidRPr="008E6916" w:rsidRDefault="00EF5963" w:rsidP="008E6916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Seguro de accidentes personales que contemple actividades de trekking</w:t>
      </w:r>
    </w:p>
    <w:p w14:paraId="335F5A1E" w14:textId="4E990351" w:rsidR="00EF5963" w:rsidRPr="008E6916" w:rsidRDefault="00EF5963" w:rsidP="008E6916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lastRenderedPageBreak/>
        <w:t>Curso regularizado y aprobado de WFR de 88 horas (credencial) (será exigible para la entrega del certificado de cursada).</w:t>
      </w:r>
    </w:p>
    <w:p w14:paraId="376C51D6" w14:textId="77777777" w:rsidR="008E6916" w:rsidRDefault="00EF5963" w:rsidP="008E6916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Equipamiento personal (mochila de capacidad mínima 60 l., carpa, bolsa de dormir de al menos - 10°,utensilios para campamento, botiquín, y otros instrumentos que puedan requerirse en las salidas prácticas).</w:t>
      </w:r>
    </w:p>
    <w:p w14:paraId="4F2EFE3A" w14:textId="5EEFFA90" w:rsidR="00EF5963" w:rsidRPr="008E6916" w:rsidRDefault="00EF5963" w:rsidP="008E6916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Seguro de Accidentes personales para actividades de trekking y montaña.</w:t>
      </w:r>
      <w:r w:rsidRPr="008E6916">
        <w:rPr>
          <w:rFonts w:cstheme="minorHAnsi"/>
          <w:lang w:val="es-MX"/>
        </w:rPr>
        <w:cr/>
      </w:r>
    </w:p>
    <w:p w14:paraId="25617444" w14:textId="371D8099" w:rsidR="00EF5963" w:rsidRPr="008E6916" w:rsidRDefault="00EF5963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 xml:space="preserve">AUTORIDADES/DOCENTES </w:t>
      </w:r>
    </w:p>
    <w:p w14:paraId="1E76C962" w14:textId="77777777" w:rsidR="008E6916" w:rsidRPr="008E6916" w:rsidRDefault="008E6916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Directora académica: Mg. Grisel Guerrero Gallardo</w:t>
      </w:r>
    </w:p>
    <w:p w14:paraId="1D17EE01" w14:textId="435592FA" w:rsidR="008E6916" w:rsidRPr="008E6916" w:rsidRDefault="008E6916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 xml:space="preserve">Directora administrativa: Lic. Lucía Pérez </w:t>
      </w:r>
    </w:p>
    <w:p w14:paraId="01DB4BEC" w14:textId="3D821B14" w:rsidR="008E6916" w:rsidRPr="008E6916" w:rsidRDefault="008E6916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Comité académico: Dra Marisol Vereda, Lic. Maira Alejandra Contreras, Lic. Mariana Morgavi, Lic. Hernán Quesada</w:t>
      </w:r>
    </w:p>
    <w:p w14:paraId="0986A271" w14:textId="77777777" w:rsidR="008E6916" w:rsidRDefault="008E6916" w:rsidP="008E6916">
      <w:pPr>
        <w:spacing w:after="0" w:line="240" w:lineRule="auto"/>
        <w:jc w:val="both"/>
        <w:rPr>
          <w:rFonts w:cstheme="minorHAnsi"/>
          <w:lang w:val="es-MX"/>
        </w:rPr>
      </w:pPr>
    </w:p>
    <w:p w14:paraId="44F0A9B0" w14:textId="77777777" w:rsidR="008E6916" w:rsidRDefault="00ED5ACF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 xml:space="preserve">DURACION </w:t>
      </w:r>
    </w:p>
    <w:p w14:paraId="059196E9" w14:textId="3976665E" w:rsidR="008E6916" w:rsidRDefault="008E6916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>Inicio: 8/2024 Finalización 02/2025</w:t>
      </w:r>
    </w:p>
    <w:p w14:paraId="0E41F29A" w14:textId="568AA0E5" w:rsidR="009C34E1" w:rsidRPr="008E6916" w:rsidRDefault="009C34E1" w:rsidP="008E6916">
      <w:pPr>
        <w:spacing w:after="0" w:line="240" w:lineRule="auto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Dictado semanal: </w:t>
      </w:r>
      <w:r w:rsidRPr="009C34E1">
        <w:rPr>
          <w:rFonts w:cstheme="minorHAnsi"/>
          <w:lang w:val="es-MX"/>
        </w:rPr>
        <w:t>8 hrs</w:t>
      </w:r>
      <w:r>
        <w:rPr>
          <w:rFonts w:cstheme="minorHAnsi"/>
          <w:lang w:val="es-MX"/>
        </w:rPr>
        <w:t xml:space="preserve">., </w:t>
      </w:r>
      <w:r w:rsidRPr="009C34E1">
        <w:rPr>
          <w:rFonts w:cstheme="minorHAnsi"/>
          <w:lang w:val="es-MX"/>
        </w:rPr>
        <w:t>miércoles y viernes de 18:00</w:t>
      </w:r>
      <w:r>
        <w:rPr>
          <w:rFonts w:cstheme="minorHAnsi"/>
          <w:lang w:val="es-MX"/>
        </w:rPr>
        <w:t xml:space="preserve"> </w:t>
      </w:r>
      <w:r w:rsidRPr="009C34E1">
        <w:rPr>
          <w:rFonts w:cstheme="minorHAnsi"/>
          <w:lang w:val="es-MX"/>
        </w:rPr>
        <w:t>a 22:00</w:t>
      </w:r>
      <w:r>
        <w:rPr>
          <w:rFonts w:cstheme="minorHAnsi"/>
          <w:lang w:val="es-MX"/>
        </w:rPr>
        <w:t xml:space="preserve"> hrs.</w:t>
      </w:r>
    </w:p>
    <w:p w14:paraId="0E3254B2" w14:textId="77777777" w:rsidR="008E6916" w:rsidRDefault="008E6916" w:rsidP="008E6916">
      <w:pPr>
        <w:spacing w:after="0" w:line="240" w:lineRule="auto"/>
        <w:jc w:val="both"/>
        <w:rPr>
          <w:rFonts w:cstheme="minorHAnsi"/>
          <w:lang w:val="es-MX"/>
        </w:rPr>
      </w:pPr>
    </w:p>
    <w:p w14:paraId="32177D87" w14:textId="518C4B51" w:rsidR="00ED5ACF" w:rsidRPr="008E6916" w:rsidRDefault="00ED5ACF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 xml:space="preserve">ARANCELES </w:t>
      </w:r>
    </w:p>
    <w:p w14:paraId="31525DAC" w14:textId="18EF9010" w:rsidR="008E6916" w:rsidRPr="008E6916" w:rsidRDefault="008E6916" w:rsidP="008E6916">
      <w:p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 xml:space="preserve">El arancel corresponde a los gastos de contratación y demás erogaciones necesarias para la realización de la diplomatura. El inicio de la </w:t>
      </w:r>
      <w:r>
        <w:rPr>
          <w:rFonts w:cstheme="minorHAnsi"/>
          <w:lang w:val="es-MX"/>
        </w:rPr>
        <w:t>diplomatura</w:t>
      </w:r>
      <w:r w:rsidRPr="008E6916">
        <w:rPr>
          <w:rFonts w:cstheme="minorHAnsi"/>
          <w:lang w:val="es-MX"/>
        </w:rPr>
        <w:t xml:space="preserve"> estará sujeto a contar con una cantidad mínima 30 </w:t>
      </w:r>
      <w:r>
        <w:rPr>
          <w:rFonts w:cstheme="minorHAnsi"/>
          <w:lang w:val="es-MX"/>
        </w:rPr>
        <w:t>alumnos (máximo 45 estudiantes).</w:t>
      </w:r>
    </w:p>
    <w:p w14:paraId="2E0ED6B9" w14:textId="2F17E53B" w:rsidR="008E6916" w:rsidRPr="008E6916" w:rsidRDefault="008E6916" w:rsidP="008E6916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s-MX"/>
        </w:rPr>
      </w:pPr>
      <w:r w:rsidRPr="008E6916">
        <w:rPr>
          <w:rFonts w:cstheme="minorHAnsi"/>
          <w:lang w:val="es-MX"/>
        </w:rPr>
        <w:t xml:space="preserve">El </w:t>
      </w:r>
      <w:r>
        <w:rPr>
          <w:rFonts w:cstheme="minorHAnsi"/>
          <w:lang w:val="es-MX"/>
        </w:rPr>
        <w:t xml:space="preserve">arancel </w:t>
      </w:r>
      <w:r w:rsidRPr="008E6916">
        <w:rPr>
          <w:rFonts w:cstheme="minorHAnsi"/>
          <w:lang w:val="es-MX"/>
        </w:rPr>
        <w:t>será de $140.000 que se abonará en una cuota al momento de la inscripción.</w:t>
      </w:r>
    </w:p>
    <w:p w14:paraId="6352A129" w14:textId="77777777" w:rsidR="008E6916" w:rsidRPr="008E6916" w:rsidRDefault="008E6916" w:rsidP="008E6916">
      <w:pPr>
        <w:spacing w:after="0" w:line="240" w:lineRule="auto"/>
        <w:jc w:val="both"/>
        <w:rPr>
          <w:rFonts w:cstheme="minorHAnsi"/>
          <w:lang w:val="es-MX"/>
        </w:rPr>
      </w:pPr>
    </w:p>
    <w:p w14:paraId="05EC667F" w14:textId="7BEFEE03" w:rsidR="00452DAD" w:rsidRPr="008E6916" w:rsidRDefault="00452DAD" w:rsidP="008E6916">
      <w:pPr>
        <w:jc w:val="both"/>
        <w:rPr>
          <w:rFonts w:cstheme="minorHAnsi"/>
          <w:lang w:val="es-MX"/>
        </w:rPr>
      </w:pPr>
    </w:p>
    <w:sectPr w:rsidR="00452DAD" w:rsidRPr="008E6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96C"/>
    <w:multiLevelType w:val="hybridMultilevel"/>
    <w:tmpl w:val="D4CE61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2293"/>
    <w:multiLevelType w:val="hybridMultilevel"/>
    <w:tmpl w:val="CECE35FE"/>
    <w:lvl w:ilvl="0" w:tplc="F5845A0A">
      <w:start w:val="200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CF"/>
    <w:rsid w:val="00316541"/>
    <w:rsid w:val="00452DAD"/>
    <w:rsid w:val="004902CF"/>
    <w:rsid w:val="005C559E"/>
    <w:rsid w:val="007855AF"/>
    <w:rsid w:val="008E6916"/>
    <w:rsid w:val="009C34E1"/>
    <w:rsid w:val="00E2510B"/>
    <w:rsid w:val="00ED5ACF"/>
    <w:rsid w:val="00E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0CE4"/>
  <w15:chartTrackingRefBased/>
  <w15:docId w15:val="{F9460F89-5B19-4DDC-B0C1-8FB6DED3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2777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336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D1CFD2"/>
                    <w:right w:val="none" w:sz="0" w:space="0" w:color="auto"/>
                  </w:divBdr>
                  <w:divsChild>
                    <w:div w:id="12848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D1CFD2"/>
                    <w:right w:val="none" w:sz="0" w:space="0" w:color="auto"/>
                  </w:divBdr>
                  <w:divsChild>
                    <w:div w:id="4155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D1CFD2"/>
                    <w:right w:val="none" w:sz="0" w:space="0" w:color="auto"/>
                  </w:divBdr>
                  <w:divsChild>
                    <w:div w:id="14313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D1CFD2"/>
                    <w:right w:val="none" w:sz="0" w:space="0" w:color="auto"/>
                  </w:divBdr>
                  <w:divsChild>
                    <w:div w:id="14379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D1CFD2"/>
                    <w:right w:val="none" w:sz="0" w:space="0" w:color="auto"/>
                  </w:divBdr>
                  <w:divsChild>
                    <w:div w:id="5445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D1CFD2"/>
                    <w:right w:val="none" w:sz="0" w:space="0" w:color="auto"/>
                  </w:divBdr>
                  <w:divsChild>
                    <w:div w:id="17011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D1CFD2"/>
                    <w:right w:val="none" w:sz="0" w:space="0" w:color="auto"/>
                  </w:divBdr>
                  <w:divsChild>
                    <w:div w:id="15046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D1CFD2"/>
                    <w:right w:val="none" w:sz="0" w:space="0" w:color="auto"/>
                  </w:divBdr>
                  <w:divsChild>
                    <w:div w:id="8680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D1CFD2"/>
                    <w:right w:val="none" w:sz="0" w:space="0" w:color="auto"/>
                  </w:divBdr>
                  <w:divsChild>
                    <w:div w:id="1501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D1CFD2"/>
                    <w:right w:val="none" w:sz="0" w:space="0" w:color="auto"/>
                  </w:divBdr>
                  <w:divsChild>
                    <w:div w:id="3215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D1CFD2"/>
                    <w:right w:val="none" w:sz="0" w:space="0" w:color="auto"/>
                  </w:divBdr>
                  <w:divsChild>
                    <w:div w:id="214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D1CFD2"/>
                    <w:right w:val="none" w:sz="0" w:space="0" w:color="auto"/>
                  </w:divBdr>
                  <w:divsChild>
                    <w:div w:id="1893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 Guerrero G.</dc:creator>
  <cp:keywords/>
  <dc:description/>
  <cp:lastModifiedBy>Grisel Guerrero G.</cp:lastModifiedBy>
  <cp:revision>2</cp:revision>
  <dcterms:created xsi:type="dcterms:W3CDTF">2024-08-06T11:51:00Z</dcterms:created>
  <dcterms:modified xsi:type="dcterms:W3CDTF">2024-08-06T16:22:00Z</dcterms:modified>
</cp:coreProperties>
</file>